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1E" w:rsidRDefault="00C04D1E" w:rsidP="006C7D4B">
      <w:pPr>
        <w:jc w:val="right"/>
        <w:rPr>
          <w:rFonts w:ascii="Times New Roman" w:eastAsia="Times New Roman" w:hAnsi="Times New Roman"/>
          <w:b/>
          <w:kern w:val="1"/>
          <w:sz w:val="24"/>
          <w:szCs w:val="24"/>
          <w:lang w:eastAsia="ru-RU"/>
        </w:rPr>
      </w:pPr>
      <w:r>
        <w:rPr>
          <w:rFonts w:ascii="Verdana" w:hAnsi="Verdana"/>
          <w:b/>
          <w:sz w:val="20"/>
          <w:szCs w:val="20"/>
        </w:rPr>
        <w:t xml:space="preserve">                                                                         </w:t>
      </w:r>
      <w:bookmarkStart w:id="0" w:name="_GoBack"/>
      <w:bookmarkEnd w:id="0"/>
    </w:p>
    <w:p w:rsidR="00160D35" w:rsidRPr="00FD40F2" w:rsidRDefault="00160D35" w:rsidP="00160D35">
      <w:pPr>
        <w:spacing w:after="0" w:line="240" w:lineRule="auto"/>
        <w:ind w:left="9214"/>
        <w:rPr>
          <w:rFonts w:ascii="Verdana" w:eastAsia="Times New Roman" w:hAnsi="Verdana"/>
          <w:b/>
          <w:kern w:val="1"/>
          <w:lang w:eastAsia="ru-RU"/>
        </w:rPr>
      </w:pPr>
      <w:r w:rsidRPr="00FD40F2">
        <w:rPr>
          <w:rFonts w:ascii="Verdana" w:eastAsia="Times New Roman" w:hAnsi="Verdana"/>
          <w:b/>
          <w:kern w:val="1"/>
          <w:lang w:eastAsia="ru-RU"/>
        </w:rPr>
        <w:t>Приложение № 24</w:t>
      </w:r>
    </w:p>
    <w:p w:rsidR="00160D35" w:rsidRPr="00FD40F2" w:rsidRDefault="00160D35" w:rsidP="00160D35">
      <w:pPr>
        <w:ind w:left="9214"/>
        <w:rPr>
          <w:rFonts w:ascii="Verdana" w:eastAsia="Times New Roman" w:hAnsi="Verdana"/>
          <w:kern w:val="24"/>
          <w:lang w:eastAsia="ru-RU"/>
        </w:rPr>
      </w:pPr>
      <w:r w:rsidRPr="00FD40F2">
        <w:rPr>
          <w:rFonts w:ascii="Verdana" w:eastAsia="Times New Roman" w:hAnsi="Verdana"/>
          <w:kern w:val="24"/>
          <w:lang w:eastAsia="ru-RU"/>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rsidR="00EC15CD" w:rsidRDefault="00EC15CD" w:rsidP="00160D35">
      <w:pPr>
        <w:spacing w:after="0"/>
        <w:jc w:val="right"/>
        <w:rPr>
          <w:rFonts w:ascii="Verdana" w:hAnsi="Verdana"/>
          <w:b/>
        </w:rPr>
      </w:pPr>
    </w:p>
    <w:p w:rsidR="008820D6" w:rsidRDefault="0010559E" w:rsidP="00757B61">
      <w:pPr>
        <w:pStyle w:val="a3"/>
        <w:tabs>
          <w:tab w:val="left" w:pos="1418"/>
        </w:tabs>
        <w:spacing w:line="300" w:lineRule="auto"/>
        <w:ind w:left="709" w:right="40" w:firstLine="0"/>
        <w:contextualSpacing/>
        <w:jc w:val="center"/>
        <w:rPr>
          <w:rFonts w:ascii="Verdana" w:hAnsi="Verdana"/>
          <w:b/>
        </w:rPr>
      </w:pPr>
      <w:r w:rsidRPr="004D7450">
        <w:rPr>
          <w:rFonts w:ascii="Verdana" w:hAnsi="Verdana"/>
          <w:b/>
        </w:rPr>
        <w:t>Р</w:t>
      </w:r>
      <w:r w:rsidR="009B7EB7" w:rsidRPr="004D7450">
        <w:rPr>
          <w:rFonts w:ascii="Verdana" w:hAnsi="Verdana"/>
          <w:b/>
        </w:rPr>
        <w:t>иск-метрик</w:t>
      </w:r>
      <w:r w:rsidRPr="004D7450">
        <w:rPr>
          <w:rFonts w:ascii="Verdana" w:hAnsi="Verdana"/>
          <w:b/>
        </w:rPr>
        <w:t>и</w:t>
      </w:r>
      <w:r w:rsidR="009B7EB7" w:rsidRPr="004D7450">
        <w:rPr>
          <w:rFonts w:ascii="Verdana" w:hAnsi="Verdana"/>
          <w:b/>
        </w:rPr>
        <w:t xml:space="preserve"> </w:t>
      </w:r>
      <w:r w:rsidR="00EC15CD">
        <w:rPr>
          <w:rFonts w:ascii="Verdana" w:hAnsi="Verdana"/>
          <w:b/>
        </w:rPr>
        <w:t>И</w:t>
      </w:r>
      <w:r w:rsidR="00EC15CD" w:rsidRPr="004D7450">
        <w:rPr>
          <w:rFonts w:ascii="Verdana" w:hAnsi="Verdana"/>
          <w:b/>
        </w:rPr>
        <w:t xml:space="preserve">нвестиционных </w:t>
      </w:r>
      <w:r w:rsidRPr="004D7450">
        <w:rPr>
          <w:rFonts w:ascii="Verdana" w:hAnsi="Verdana"/>
          <w:b/>
        </w:rPr>
        <w:t>проектов</w:t>
      </w:r>
      <w:r w:rsidR="008820D6" w:rsidRPr="004D7450">
        <w:rPr>
          <w:rFonts w:ascii="Verdana" w:hAnsi="Verdana"/>
          <w:b/>
        </w:rPr>
        <w:t xml:space="preserve"> </w:t>
      </w:r>
      <w:r w:rsidR="00926DE4">
        <w:rPr>
          <w:rFonts w:ascii="Verdana" w:hAnsi="Verdana"/>
          <w:b/>
        </w:rPr>
        <w:t xml:space="preserve">(кроме </w:t>
      </w:r>
      <w:r w:rsidR="00F76577">
        <w:rPr>
          <w:rFonts w:ascii="Verdana" w:hAnsi="Verdana"/>
          <w:b/>
        </w:rPr>
        <w:t>П</w:t>
      </w:r>
      <w:r w:rsidR="00EC15CD">
        <w:rPr>
          <w:rFonts w:ascii="Verdana" w:hAnsi="Verdana"/>
          <w:b/>
        </w:rPr>
        <w:t>роектно</w:t>
      </w:r>
      <w:r w:rsidR="00926DE4">
        <w:rPr>
          <w:rFonts w:ascii="Verdana" w:hAnsi="Verdana"/>
          <w:b/>
        </w:rPr>
        <w:t>го</w:t>
      </w:r>
      <w:r w:rsidR="00EC15CD">
        <w:rPr>
          <w:rFonts w:ascii="Verdana" w:hAnsi="Verdana"/>
          <w:b/>
        </w:rPr>
        <w:t xml:space="preserve"> финансировани</w:t>
      </w:r>
      <w:r w:rsidR="00926DE4">
        <w:rPr>
          <w:rFonts w:ascii="Verdana" w:hAnsi="Verdana"/>
          <w:b/>
        </w:rPr>
        <w:t>я</w:t>
      </w:r>
      <w:r w:rsidR="00EC15CD">
        <w:rPr>
          <w:rFonts w:ascii="Verdana" w:hAnsi="Verdana"/>
          <w:b/>
        </w:rPr>
        <w:t>)</w:t>
      </w:r>
    </w:p>
    <w:p w:rsidR="00214205" w:rsidRPr="004D7450" w:rsidRDefault="00214205" w:rsidP="004D7450">
      <w:pPr>
        <w:pStyle w:val="a3"/>
        <w:tabs>
          <w:tab w:val="left" w:pos="1418"/>
        </w:tabs>
        <w:spacing w:line="300" w:lineRule="auto"/>
        <w:ind w:left="709" w:right="40" w:firstLine="0"/>
        <w:contextualSpacing/>
        <w:jc w:val="center"/>
        <w:rPr>
          <w:rFonts w:ascii="Verdana" w:hAnsi="Verdana"/>
          <w:b/>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38"/>
        <w:gridCol w:w="709"/>
        <w:gridCol w:w="4545"/>
        <w:gridCol w:w="3953"/>
        <w:gridCol w:w="3373"/>
      </w:tblGrid>
      <w:tr w:rsidR="00214205" w:rsidRPr="00EF41D4" w:rsidTr="00B20C83">
        <w:trPr>
          <w:trHeight w:val="384"/>
        </w:trPr>
        <w:tc>
          <w:tcPr>
            <w:tcW w:w="194" w:type="pct"/>
            <w:shd w:val="clear" w:color="auto" w:fill="D5DCE4" w:themeFill="text2" w:themeFillTint="33"/>
            <w:noWrap/>
            <w:hideMark/>
          </w:tcPr>
          <w:p w:rsidR="00214205" w:rsidRPr="00EF41D4" w:rsidRDefault="00214205" w:rsidP="004D7450">
            <w:pPr>
              <w:spacing w:after="0" w:line="300" w:lineRule="auto"/>
              <w:contextualSpacing/>
              <w:rPr>
                <w:rFonts w:ascii="Verdana" w:eastAsia="Times New Roman" w:hAnsi="Verdana"/>
                <w:b/>
                <w:bCs/>
                <w:color w:val="000000"/>
                <w:lang w:eastAsia="ru-RU"/>
              </w:rPr>
            </w:pPr>
            <w:r w:rsidRPr="00EF41D4">
              <w:rPr>
                <w:rFonts w:ascii="Verdana" w:eastAsia="Times New Roman" w:hAnsi="Verdana"/>
                <w:b/>
                <w:bCs/>
                <w:color w:val="000000"/>
                <w:lang w:eastAsia="ru-RU"/>
              </w:rPr>
              <w:t>№</w:t>
            </w:r>
          </w:p>
        </w:tc>
        <w:tc>
          <w:tcPr>
            <w:tcW w:w="726" w:type="pct"/>
            <w:shd w:val="clear" w:color="auto" w:fill="D5DCE4" w:themeFill="text2" w:themeFillTint="33"/>
            <w:hideMark/>
          </w:tcPr>
          <w:p w:rsidR="00214205" w:rsidRPr="00EF41D4" w:rsidRDefault="00EC7CB1" w:rsidP="00B20C83">
            <w:pPr>
              <w:spacing w:after="0" w:line="300" w:lineRule="auto"/>
              <w:contextualSpacing/>
              <w:rPr>
                <w:rFonts w:ascii="Verdana" w:eastAsia="Times New Roman" w:hAnsi="Verdana"/>
                <w:b/>
                <w:bCs/>
                <w:color w:val="000000"/>
                <w:lang w:eastAsia="ru-RU"/>
              </w:rPr>
            </w:pPr>
            <w:r>
              <w:rPr>
                <w:rFonts w:ascii="Verdana" w:eastAsia="Times New Roman" w:hAnsi="Verdana"/>
                <w:b/>
                <w:bCs/>
                <w:color w:val="000000"/>
                <w:lang w:eastAsia="ru-RU"/>
              </w:rPr>
              <w:t>Тип сделки</w:t>
            </w:r>
          </w:p>
        </w:tc>
        <w:tc>
          <w:tcPr>
            <w:tcW w:w="1704" w:type="pct"/>
            <w:gridSpan w:val="2"/>
            <w:shd w:val="clear" w:color="auto" w:fill="D5DCE4" w:themeFill="text2" w:themeFillTint="33"/>
            <w:noWrap/>
            <w:hideMark/>
          </w:tcPr>
          <w:p w:rsidR="00214205" w:rsidRPr="00EF41D4" w:rsidRDefault="00214205" w:rsidP="004D7450">
            <w:pPr>
              <w:spacing w:after="0" w:line="300" w:lineRule="auto"/>
              <w:contextualSpacing/>
              <w:jc w:val="center"/>
              <w:rPr>
                <w:rFonts w:ascii="Verdana" w:eastAsia="Times New Roman" w:hAnsi="Verdana"/>
                <w:b/>
                <w:bCs/>
                <w:color w:val="000000"/>
                <w:lang w:eastAsia="ru-RU"/>
              </w:rPr>
            </w:pPr>
            <w:r w:rsidRPr="00EF41D4">
              <w:rPr>
                <w:rFonts w:ascii="Verdana" w:eastAsia="Times New Roman" w:hAnsi="Verdana"/>
                <w:b/>
                <w:bCs/>
                <w:color w:val="000000"/>
                <w:lang w:eastAsia="ru-RU"/>
              </w:rPr>
              <w:t>Показатель</w:t>
            </w:r>
            <w:r w:rsidRPr="00EF41D4">
              <w:rPr>
                <w:rStyle w:val="a8"/>
                <w:rFonts w:ascii="Verdana" w:eastAsia="Times New Roman" w:hAnsi="Verdana"/>
                <w:b/>
                <w:bCs/>
                <w:color w:val="000000"/>
                <w:lang w:eastAsia="ru-RU"/>
              </w:rPr>
              <w:footnoteReference w:id="1"/>
            </w:r>
          </w:p>
        </w:tc>
        <w:tc>
          <w:tcPr>
            <w:tcW w:w="1282" w:type="pct"/>
            <w:shd w:val="clear" w:color="auto" w:fill="D5DCE4" w:themeFill="text2" w:themeFillTint="33"/>
            <w:noWrap/>
            <w:hideMark/>
          </w:tcPr>
          <w:p w:rsidR="00214205" w:rsidRPr="00EF41D4" w:rsidRDefault="00214205" w:rsidP="004D7450">
            <w:pPr>
              <w:spacing w:after="0" w:line="300" w:lineRule="auto"/>
              <w:contextualSpacing/>
              <w:jc w:val="center"/>
              <w:rPr>
                <w:rFonts w:ascii="Verdana" w:eastAsia="Times New Roman" w:hAnsi="Verdana"/>
                <w:b/>
                <w:bCs/>
                <w:color w:val="000000"/>
                <w:lang w:eastAsia="ru-RU"/>
              </w:rPr>
            </w:pPr>
            <w:r w:rsidRPr="00EF41D4">
              <w:rPr>
                <w:rFonts w:ascii="Verdana" w:eastAsia="Times New Roman" w:hAnsi="Verdana"/>
                <w:b/>
                <w:bCs/>
                <w:color w:val="000000"/>
                <w:lang w:eastAsia="ru-RU"/>
              </w:rPr>
              <w:t>Целевое значение показателя</w:t>
            </w:r>
          </w:p>
        </w:tc>
        <w:tc>
          <w:tcPr>
            <w:tcW w:w="1094" w:type="pct"/>
            <w:shd w:val="clear" w:color="auto" w:fill="D5DCE4" w:themeFill="text2" w:themeFillTint="33"/>
            <w:hideMark/>
          </w:tcPr>
          <w:p w:rsidR="00214205" w:rsidRPr="00EF41D4" w:rsidRDefault="00214205" w:rsidP="004D7450">
            <w:pPr>
              <w:spacing w:after="0" w:line="300" w:lineRule="auto"/>
              <w:contextualSpacing/>
              <w:jc w:val="center"/>
              <w:rPr>
                <w:rFonts w:ascii="Verdana" w:eastAsia="Times New Roman" w:hAnsi="Verdana"/>
                <w:b/>
                <w:bCs/>
                <w:color w:val="000000"/>
                <w:lang w:eastAsia="ru-RU"/>
              </w:rPr>
            </w:pPr>
            <w:r w:rsidRPr="00EF41D4">
              <w:rPr>
                <w:rFonts w:ascii="Verdana" w:eastAsia="Times New Roman" w:hAnsi="Verdana"/>
                <w:b/>
                <w:bCs/>
                <w:color w:val="000000"/>
                <w:lang w:eastAsia="ru-RU"/>
              </w:rPr>
              <w:t>Расчетное значение показателя</w:t>
            </w:r>
          </w:p>
        </w:tc>
      </w:tr>
      <w:tr w:rsidR="00DE20D7" w:rsidRPr="00EF41D4" w:rsidTr="00EC7CB1">
        <w:trPr>
          <w:trHeight w:val="89"/>
        </w:trPr>
        <w:tc>
          <w:tcPr>
            <w:tcW w:w="194" w:type="pct"/>
            <w:vMerge w:val="restart"/>
            <w:noWrap/>
            <w:vAlign w:val="center"/>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   </w:t>
            </w:r>
          </w:p>
        </w:tc>
        <w:tc>
          <w:tcPr>
            <w:tcW w:w="726" w:type="pct"/>
            <w:vMerge w:val="restart"/>
            <w:noWrap/>
            <w:vAlign w:val="center"/>
            <w:hideMark/>
          </w:tcPr>
          <w:p w:rsidR="00214205" w:rsidRPr="00EC7CB1" w:rsidRDefault="00EC7CB1" w:rsidP="004D7450">
            <w:pPr>
              <w:spacing w:after="0" w:line="300" w:lineRule="auto"/>
              <w:contextualSpacing/>
              <w:jc w:val="both"/>
              <w:rPr>
                <w:rFonts w:ascii="Verdana" w:eastAsia="Times New Roman" w:hAnsi="Verdana"/>
                <w:color w:val="000000"/>
                <w:lang w:eastAsia="ru-RU"/>
              </w:rPr>
            </w:pPr>
            <w:r>
              <w:rPr>
                <w:rFonts w:ascii="Verdana" w:eastAsia="Times New Roman" w:hAnsi="Verdana"/>
                <w:color w:val="000000"/>
                <w:lang w:eastAsia="ru-RU"/>
              </w:rPr>
              <w:t>Действующий бизнес</w:t>
            </w:r>
          </w:p>
        </w:tc>
        <w:tc>
          <w:tcPr>
            <w:tcW w:w="230" w:type="pct"/>
            <w:noWrap/>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1.1</w:t>
            </w:r>
          </w:p>
        </w:tc>
        <w:tc>
          <w:tcPr>
            <w:tcW w:w="1474" w:type="pct"/>
            <w:noWrap/>
          </w:tcPr>
          <w:p w:rsidR="00214205" w:rsidRPr="00EF41D4" w:rsidRDefault="00214205" w:rsidP="004D7450">
            <w:pPr>
              <w:spacing w:after="0" w:line="300" w:lineRule="auto"/>
              <w:contextualSpacing/>
              <w:jc w:val="both"/>
              <w:rPr>
                <w:rFonts w:ascii="Verdana" w:eastAsia="Times New Roman" w:hAnsi="Verdana"/>
                <w:color w:val="000000"/>
                <w:lang w:val="en-US" w:eastAsia="ru-RU"/>
              </w:rPr>
            </w:pPr>
            <w:r w:rsidRPr="00EF41D4">
              <w:rPr>
                <w:rFonts w:ascii="Verdana" w:eastAsia="Times New Roman" w:hAnsi="Verdana"/>
                <w:color w:val="000000"/>
                <w:lang w:eastAsia="ru-RU"/>
              </w:rPr>
              <w:t xml:space="preserve">Финансовый долг / </w:t>
            </w:r>
            <w:r w:rsidRPr="00EF41D4">
              <w:rPr>
                <w:rFonts w:ascii="Verdana" w:eastAsia="Times New Roman" w:hAnsi="Verdana"/>
                <w:color w:val="000000"/>
                <w:lang w:val="en-US" w:eastAsia="ru-RU"/>
              </w:rPr>
              <w:t>EBITDA</w:t>
            </w:r>
            <w:r w:rsidRPr="00EF41D4">
              <w:rPr>
                <w:rStyle w:val="a8"/>
                <w:rFonts w:ascii="Verdana" w:eastAsia="Times New Roman" w:hAnsi="Verdana"/>
                <w:color w:val="000000"/>
                <w:lang w:val="en-US" w:eastAsia="ru-RU"/>
              </w:rPr>
              <w:footnoteReference w:id="2"/>
            </w:r>
          </w:p>
        </w:tc>
        <w:tc>
          <w:tcPr>
            <w:tcW w:w="1282" w:type="pct"/>
          </w:tcPr>
          <w:p w:rsidR="00214205" w:rsidRPr="00EF41D4" w:rsidRDefault="00214205" w:rsidP="00B20C83">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не более 5,0</w:t>
            </w:r>
          </w:p>
        </w:tc>
        <w:tc>
          <w:tcPr>
            <w:tcW w:w="1094" w:type="pct"/>
            <w:noWrap/>
            <w:hideMark/>
          </w:tcPr>
          <w:p w:rsidR="00214205" w:rsidRPr="00EF41D4" w:rsidRDefault="00214205" w:rsidP="004D7450">
            <w:pPr>
              <w:spacing w:after="0" w:line="300" w:lineRule="auto"/>
              <w:contextualSpacing/>
              <w:rPr>
                <w:rFonts w:ascii="Verdana" w:eastAsia="Times New Roman" w:hAnsi="Verdana"/>
                <w:color w:val="000000"/>
                <w:lang w:eastAsia="ru-RU"/>
              </w:rPr>
            </w:pPr>
          </w:p>
        </w:tc>
      </w:tr>
      <w:tr w:rsidR="00DE20D7" w:rsidRPr="00EF41D4" w:rsidTr="00EC7CB1">
        <w:trPr>
          <w:trHeight w:val="162"/>
        </w:trPr>
        <w:tc>
          <w:tcPr>
            <w:tcW w:w="194" w:type="pct"/>
            <w:vMerge/>
            <w:vAlign w:val="center"/>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726" w:type="pct"/>
            <w:vMerge/>
            <w:vAlign w:val="center"/>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230" w:type="pct"/>
            <w:noWrap/>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1.2</w:t>
            </w:r>
          </w:p>
        </w:tc>
        <w:tc>
          <w:tcPr>
            <w:tcW w:w="1474" w:type="pct"/>
            <w:noWrap/>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val="en-US" w:eastAsia="ru-RU"/>
              </w:rPr>
              <w:t>EBIT</w:t>
            </w:r>
            <w:r w:rsidRPr="00EF41D4">
              <w:rPr>
                <w:rStyle w:val="a8"/>
                <w:rFonts w:ascii="Verdana" w:hAnsi="Verdana"/>
              </w:rPr>
              <w:t>2</w:t>
            </w:r>
            <w:r w:rsidRPr="00EF41D4">
              <w:rPr>
                <w:rFonts w:ascii="Verdana" w:eastAsia="Times New Roman" w:hAnsi="Verdana"/>
                <w:color w:val="000000"/>
                <w:lang w:val="en-US" w:eastAsia="ru-RU"/>
              </w:rPr>
              <w:t xml:space="preserve"> / </w:t>
            </w:r>
            <w:r w:rsidRPr="00EF41D4">
              <w:rPr>
                <w:rFonts w:ascii="Verdana" w:eastAsia="Times New Roman" w:hAnsi="Verdana"/>
                <w:color w:val="000000"/>
                <w:lang w:eastAsia="ru-RU"/>
              </w:rPr>
              <w:t>Проценты к уплате</w:t>
            </w:r>
          </w:p>
        </w:tc>
        <w:tc>
          <w:tcPr>
            <w:tcW w:w="1282" w:type="pct"/>
            <w:hideMark/>
          </w:tcPr>
          <w:p w:rsidR="00214205" w:rsidRPr="00EF41D4" w:rsidRDefault="00214205" w:rsidP="00B20C83">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не менее 1,2</w:t>
            </w:r>
          </w:p>
        </w:tc>
        <w:tc>
          <w:tcPr>
            <w:tcW w:w="1094" w:type="pct"/>
            <w:noWrap/>
            <w:hideMark/>
          </w:tcPr>
          <w:p w:rsidR="00214205" w:rsidRPr="00EF41D4" w:rsidRDefault="00214205" w:rsidP="004D7450">
            <w:pPr>
              <w:spacing w:after="0" w:line="300" w:lineRule="auto"/>
              <w:contextualSpacing/>
              <w:rPr>
                <w:rFonts w:ascii="Verdana" w:eastAsia="Times New Roman" w:hAnsi="Verdana"/>
                <w:color w:val="000000"/>
                <w:lang w:eastAsia="ru-RU"/>
              </w:rPr>
            </w:pPr>
          </w:p>
        </w:tc>
      </w:tr>
      <w:tr w:rsidR="00DE20D7" w:rsidRPr="00EF41D4" w:rsidTr="00EC7CB1">
        <w:trPr>
          <w:trHeight w:val="89"/>
        </w:trPr>
        <w:tc>
          <w:tcPr>
            <w:tcW w:w="194" w:type="pct"/>
            <w:vMerge/>
            <w:vAlign w:val="center"/>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726" w:type="pct"/>
            <w:vMerge/>
            <w:vAlign w:val="center"/>
            <w:hideMark/>
          </w:tcPr>
          <w:p w:rsidR="00214205" w:rsidRPr="00EF41D4" w:rsidRDefault="00214205" w:rsidP="004D7450">
            <w:pPr>
              <w:spacing w:after="0" w:line="300" w:lineRule="auto"/>
              <w:contextualSpacing/>
              <w:rPr>
                <w:rFonts w:ascii="Verdana" w:eastAsia="Times New Roman" w:hAnsi="Verdana"/>
                <w:color w:val="000000"/>
                <w:lang w:eastAsia="ru-RU"/>
              </w:rPr>
            </w:pPr>
          </w:p>
        </w:tc>
        <w:tc>
          <w:tcPr>
            <w:tcW w:w="230" w:type="pct"/>
            <w:noWrap/>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1.3</w:t>
            </w:r>
          </w:p>
        </w:tc>
        <w:tc>
          <w:tcPr>
            <w:tcW w:w="1474" w:type="pct"/>
            <w:noWrap/>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Собственный капитал / Активы</w:t>
            </w:r>
          </w:p>
        </w:tc>
        <w:tc>
          <w:tcPr>
            <w:tcW w:w="1282" w:type="pct"/>
            <w:hideMark/>
          </w:tcPr>
          <w:p w:rsidR="00214205" w:rsidRPr="00EF41D4" w:rsidRDefault="00214205" w:rsidP="004D7450">
            <w:pPr>
              <w:spacing w:after="0" w:line="300" w:lineRule="auto"/>
              <w:contextualSpacing/>
              <w:jc w:val="both"/>
              <w:rPr>
                <w:rFonts w:ascii="Verdana" w:eastAsia="Times New Roman" w:hAnsi="Verdana"/>
                <w:color w:val="000000"/>
                <w:lang w:eastAsia="ru-RU"/>
              </w:rPr>
            </w:pPr>
            <w:r w:rsidRPr="00EF41D4">
              <w:rPr>
                <w:rFonts w:ascii="Verdana" w:eastAsia="Times New Roman" w:hAnsi="Verdana"/>
                <w:color w:val="000000"/>
                <w:lang w:eastAsia="ru-RU"/>
              </w:rPr>
              <w:t>не менее 0,2</w:t>
            </w:r>
          </w:p>
        </w:tc>
        <w:tc>
          <w:tcPr>
            <w:tcW w:w="1094" w:type="pct"/>
            <w:noWrap/>
            <w:hideMark/>
          </w:tcPr>
          <w:p w:rsidR="00214205" w:rsidRPr="00EF41D4" w:rsidRDefault="00214205" w:rsidP="004D7450">
            <w:pPr>
              <w:spacing w:after="0" w:line="300" w:lineRule="auto"/>
              <w:contextualSpacing/>
              <w:rPr>
                <w:rFonts w:ascii="Verdana" w:eastAsia="Times New Roman" w:hAnsi="Verdana"/>
                <w:color w:val="000000"/>
                <w:lang w:eastAsia="ru-RU"/>
              </w:rPr>
            </w:pPr>
          </w:p>
        </w:tc>
      </w:tr>
    </w:tbl>
    <w:p w:rsidR="00713DA9" w:rsidRPr="004D7450" w:rsidRDefault="00713DA9" w:rsidP="00AB25C2">
      <w:pPr>
        <w:tabs>
          <w:tab w:val="left" w:pos="1418"/>
        </w:tabs>
        <w:spacing w:after="0" w:line="300" w:lineRule="auto"/>
        <w:ind w:right="40"/>
        <w:contextualSpacing/>
        <w:jc w:val="center"/>
        <w:rPr>
          <w:rFonts w:ascii="Verdana" w:hAnsi="Verdana"/>
          <w:b/>
        </w:rPr>
      </w:pPr>
    </w:p>
    <w:sectPr w:rsidR="00713DA9" w:rsidRPr="004D7450" w:rsidSect="00583C9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D1F" w:rsidRDefault="00642D1F" w:rsidP="009B7EB7">
      <w:pPr>
        <w:spacing w:after="0" w:line="240" w:lineRule="auto"/>
      </w:pPr>
      <w:r>
        <w:separator/>
      </w:r>
    </w:p>
  </w:endnote>
  <w:endnote w:type="continuationSeparator" w:id="0">
    <w:p w:rsidR="00642D1F" w:rsidRDefault="00642D1F" w:rsidP="009B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D1F" w:rsidRDefault="00642D1F" w:rsidP="009B7EB7">
      <w:pPr>
        <w:spacing w:after="0" w:line="240" w:lineRule="auto"/>
      </w:pPr>
      <w:r>
        <w:separator/>
      </w:r>
    </w:p>
  </w:footnote>
  <w:footnote w:type="continuationSeparator" w:id="0">
    <w:p w:rsidR="00642D1F" w:rsidRDefault="00642D1F" w:rsidP="009B7EB7">
      <w:pPr>
        <w:spacing w:after="0" w:line="240" w:lineRule="auto"/>
      </w:pPr>
      <w:r>
        <w:continuationSeparator/>
      </w:r>
    </w:p>
  </w:footnote>
  <w:footnote w:id="1">
    <w:p w:rsidR="00214205" w:rsidRPr="00926DE4" w:rsidRDefault="00214205" w:rsidP="005F41EB">
      <w:pPr>
        <w:spacing w:after="0" w:line="300" w:lineRule="auto"/>
        <w:contextualSpacing/>
        <w:jc w:val="both"/>
        <w:rPr>
          <w:rFonts w:ascii="Verdana" w:hAnsi="Verdana" w:cs="Arial"/>
          <w:sz w:val="18"/>
          <w:szCs w:val="18"/>
        </w:rPr>
      </w:pPr>
      <w:r w:rsidRPr="00572FF9">
        <w:rPr>
          <w:rStyle w:val="a8"/>
          <w:rFonts w:ascii="Verdana" w:hAnsi="Verdana"/>
        </w:rPr>
        <w:footnoteRef/>
      </w:r>
      <w:r w:rsidRPr="00C4068B">
        <w:t xml:space="preserve"> </w:t>
      </w:r>
      <w:r w:rsidR="00961D42" w:rsidRPr="00926DE4">
        <w:rPr>
          <w:rFonts w:ascii="Verdana" w:hAnsi="Verdana"/>
          <w:sz w:val="18"/>
          <w:szCs w:val="18"/>
        </w:rPr>
        <w:t>Расчет</w:t>
      </w:r>
      <w:r w:rsidRPr="00926DE4">
        <w:rPr>
          <w:rFonts w:ascii="Verdana" w:hAnsi="Verdana"/>
          <w:sz w:val="18"/>
          <w:szCs w:val="18"/>
        </w:rPr>
        <w:t xml:space="preserve"> показателей </w:t>
      </w:r>
      <w:r w:rsidR="00961D42" w:rsidRPr="00926DE4">
        <w:rPr>
          <w:rFonts w:ascii="Verdana" w:hAnsi="Verdana"/>
          <w:sz w:val="18"/>
          <w:szCs w:val="18"/>
        </w:rPr>
        <w:t xml:space="preserve">осуществляется </w:t>
      </w:r>
      <w:r w:rsidR="00B20C83" w:rsidRPr="00926DE4">
        <w:rPr>
          <w:rFonts w:ascii="Verdana" w:hAnsi="Verdana"/>
          <w:sz w:val="18"/>
          <w:szCs w:val="18"/>
        </w:rPr>
        <w:t>в соответствии с Методикой расчета показателей</w:t>
      </w:r>
      <w:r w:rsidR="00926DE4" w:rsidRPr="00926DE4">
        <w:rPr>
          <w:rFonts w:ascii="Verdana" w:hAnsi="Verdana"/>
          <w:sz w:val="18"/>
          <w:szCs w:val="18"/>
        </w:rPr>
        <w:t>,</w:t>
      </w:r>
      <w:r w:rsidR="00926DE4" w:rsidRPr="002108E4">
        <w:rPr>
          <w:rFonts w:ascii="Verdana" w:hAnsi="Verdana"/>
          <w:sz w:val="18"/>
          <w:szCs w:val="18"/>
        </w:rPr>
        <w:t xml:space="preserve"> установленной приложением № 24.2 к Правилам,</w:t>
      </w:r>
      <w:r w:rsidR="00B20C83" w:rsidRPr="00AB25C2">
        <w:rPr>
          <w:rFonts w:ascii="Verdana" w:hAnsi="Verdana"/>
          <w:sz w:val="18"/>
          <w:szCs w:val="18"/>
        </w:rPr>
        <w:t xml:space="preserve"> </w:t>
      </w:r>
      <w:r w:rsidR="009555C4" w:rsidRPr="00AB25C2">
        <w:rPr>
          <w:rFonts w:ascii="Verdana" w:hAnsi="Verdana"/>
          <w:sz w:val="18"/>
          <w:szCs w:val="18"/>
        </w:rPr>
        <w:t xml:space="preserve">на актуальную квартальную дату </w:t>
      </w:r>
      <w:r w:rsidR="00961D42" w:rsidRPr="00926DE4">
        <w:rPr>
          <w:rFonts w:ascii="Verdana" w:hAnsi="Verdana"/>
          <w:sz w:val="18"/>
          <w:szCs w:val="18"/>
        </w:rPr>
        <w:t xml:space="preserve">по данным бухгалтерской отчётности </w:t>
      </w:r>
      <w:r w:rsidRPr="00926DE4">
        <w:rPr>
          <w:rFonts w:ascii="Verdana" w:hAnsi="Verdana"/>
          <w:sz w:val="18"/>
          <w:szCs w:val="18"/>
        </w:rPr>
        <w:t xml:space="preserve">Заемщика и (или) </w:t>
      </w:r>
      <w:r w:rsidR="00961D42" w:rsidRPr="00926DE4">
        <w:rPr>
          <w:rFonts w:ascii="Verdana" w:hAnsi="Verdana"/>
          <w:sz w:val="18"/>
          <w:szCs w:val="18"/>
        </w:rPr>
        <w:t>юридических лиц - участников группы</w:t>
      </w:r>
      <w:r w:rsidR="007E6FE4" w:rsidRPr="00926DE4">
        <w:rPr>
          <w:rFonts w:ascii="Verdana" w:hAnsi="Verdana"/>
          <w:sz w:val="18"/>
          <w:szCs w:val="18"/>
        </w:rPr>
        <w:t xml:space="preserve"> З</w:t>
      </w:r>
      <w:r w:rsidR="00961D42" w:rsidRPr="00926DE4">
        <w:rPr>
          <w:rFonts w:ascii="Verdana" w:hAnsi="Verdana"/>
          <w:sz w:val="18"/>
          <w:szCs w:val="18"/>
        </w:rPr>
        <w:t>аемщика (далее – Группа)</w:t>
      </w:r>
      <w:r w:rsidR="007E6FE4" w:rsidRPr="00926DE4">
        <w:rPr>
          <w:rFonts w:ascii="Verdana" w:hAnsi="Verdana"/>
          <w:sz w:val="18"/>
          <w:szCs w:val="18"/>
        </w:rPr>
        <w:t xml:space="preserve">, </w:t>
      </w:r>
      <w:r w:rsidR="009555C4" w:rsidRPr="00926DE4">
        <w:rPr>
          <w:rFonts w:ascii="Verdana" w:hAnsi="Verdana"/>
          <w:sz w:val="18"/>
          <w:szCs w:val="18"/>
        </w:rPr>
        <w:t>определенных</w:t>
      </w:r>
      <w:r w:rsidR="007E6FE4" w:rsidRPr="00926DE4">
        <w:rPr>
          <w:rFonts w:ascii="Verdana" w:hAnsi="Verdana"/>
          <w:sz w:val="18"/>
          <w:szCs w:val="18"/>
        </w:rPr>
        <w:t xml:space="preserve"> Фин</w:t>
      </w:r>
      <w:r w:rsidR="009555C4" w:rsidRPr="00926DE4">
        <w:rPr>
          <w:rFonts w:ascii="Verdana" w:hAnsi="Verdana"/>
          <w:sz w:val="18"/>
          <w:szCs w:val="18"/>
        </w:rPr>
        <w:t>ансовой организацией-партнером в соответствии с принятым решением (проектом решения)</w:t>
      </w:r>
      <w:r w:rsidR="00B20C83" w:rsidRPr="00926DE4">
        <w:rPr>
          <w:rFonts w:ascii="Verdana" w:hAnsi="Verdana"/>
          <w:sz w:val="18"/>
          <w:szCs w:val="18"/>
        </w:rPr>
        <w:t>.</w:t>
      </w:r>
      <w:r w:rsidRPr="00926DE4">
        <w:rPr>
          <w:rFonts w:ascii="Verdana" w:hAnsi="Verdana"/>
          <w:sz w:val="18"/>
          <w:szCs w:val="18"/>
        </w:rPr>
        <w:t xml:space="preserve"> </w:t>
      </w:r>
      <w:r w:rsidR="00961D42" w:rsidRPr="00926DE4">
        <w:rPr>
          <w:rFonts w:ascii="Verdana" w:hAnsi="Verdana"/>
          <w:sz w:val="18"/>
          <w:szCs w:val="18"/>
        </w:rPr>
        <w:t xml:space="preserve">Для заявок, направленных в Корпорацию не позднее </w:t>
      </w:r>
      <w:r w:rsidR="00856131" w:rsidRPr="00926DE4">
        <w:rPr>
          <w:rFonts w:ascii="Verdana" w:hAnsi="Verdana"/>
          <w:sz w:val="18"/>
          <w:szCs w:val="18"/>
        </w:rPr>
        <w:t>15</w:t>
      </w:r>
      <w:r w:rsidR="00B20C83" w:rsidRPr="00926DE4">
        <w:rPr>
          <w:rFonts w:ascii="Verdana" w:hAnsi="Verdana"/>
          <w:sz w:val="18"/>
          <w:szCs w:val="18"/>
        </w:rPr>
        <w:t>.0</w:t>
      </w:r>
      <w:r w:rsidR="00110FA2" w:rsidRPr="00926DE4">
        <w:rPr>
          <w:rFonts w:ascii="Verdana" w:hAnsi="Verdana"/>
          <w:sz w:val="18"/>
          <w:szCs w:val="18"/>
        </w:rPr>
        <w:t>5</w:t>
      </w:r>
      <w:r w:rsidR="00961D42" w:rsidRPr="00926DE4">
        <w:rPr>
          <w:rFonts w:ascii="Verdana" w:hAnsi="Verdana"/>
          <w:sz w:val="18"/>
          <w:szCs w:val="18"/>
        </w:rPr>
        <w:t xml:space="preserve">, </w:t>
      </w:r>
      <w:r w:rsidR="009555C4" w:rsidRPr="00926DE4">
        <w:rPr>
          <w:rFonts w:ascii="Verdana" w:hAnsi="Verdana"/>
          <w:sz w:val="18"/>
          <w:szCs w:val="18"/>
        </w:rPr>
        <w:t>актуальн</w:t>
      </w:r>
      <w:r w:rsidR="00110FA2" w:rsidRPr="00926DE4">
        <w:rPr>
          <w:rFonts w:ascii="Verdana" w:hAnsi="Verdana"/>
          <w:sz w:val="18"/>
          <w:szCs w:val="18"/>
        </w:rPr>
        <w:t>ая</w:t>
      </w:r>
      <w:r w:rsidR="009555C4" w:rsidRPr="00926DE4">
        <w:rPr>
          <w:rFonts w:ascii="Verdana" w:hAnsi="Verdana"/>
          <w:sz w:val="18"/>
          <w:szCs w:val="18"/>
        </w:rPr>
        <w:t xml:space="preserve"> квартальн</w:t>
      </w:r>
      <w:r w:rsidR="00110FA2" w:rsidRPr="00926DE4">
        <w:rPr>
          <w:rFonts w:ascii="Verdana" w:hAnsi="Verdana"/>
          <w:sz w:val="18"/>
          <w:szCs w:val="18"/>
        </w:rPr>
        <w:t>ая дата</w:t>
      </w:r>
      <w:r w:rsidR="009555C4" w:rsidRPr="00926DE4">
        <w:rPr>
          <w:rFonts w:ascii="Verdana" w:hAnsi="Verdana"/>
          <w:sz w:val="18"/>
          <w:szCs w:val="18"/>
        </w:rPr>
        <w:t xml:space="preserve"> </w:t>
      </w:r>
      <w:r w:rsidR="00EC7CB1" w:rsidRPr="00926DE4">
        <w:rPr>
          <w:rFonts w:ascii="Verdana" w:hAnsi="Verdana"/>
          <w:sz w:val="18"/>
          <w:szCs w:val="18"/>
        </w:rPr>
        <w:t xml:space="preserve">(далее – Актуальная дата) </w:t>
      </w:r>
      <w:r w:rsidR="00110FA2" w:rsidRPr="00926DE4">
        <w:rPr>
          <w:rFonts w:ascii="Verdana" w:hAnsi="Verdana"/>
          <w:sz w:val="18"/>
          <w:szCs w:val="18"/>
        </w:rPr>
        <w:t>-</w:t>
      </w:r>
      <w:r w:rsidR="009555C4" w:rsidRPr="00926DE4">
        <w:rPr>
          <w:rFonts w:ascii="Verdana" w:hAnsi="Verdana"/>
          <w:sz w:val="18"/>
          <w:szCs w:val="18"/>
        </w:rPr>
        <w:t xml:space="preserve"> </w:t>
      </w:r>
      <w:r w:rsidR="00961D42" w:rsidRPr="00926DE4">
        <w:rPr>
          <w:rFonts w:ascii="Verdana" w:hAnsi="Verdana"/>
          <w:sz w:val="18"/>
          <w:szCs w:val="18"/>
        </w:rPr>
        <w:t xml:space="preserve">31.12; не позднее </w:t>
      </w:r>
      <w:r w:rsidR="00856131" w:rsidRPr="00926DE4">
        <w:rPr>
          <w:rFonts w:ascii="Verdana" w:hAnsi="Verdana"/>
          <w:sz w:val="18"/>
          <w:szCs w:val="18"/>
        </w:rPr>
        <w:t>15.08</w:t>
      </w:r>
      <w:r w:rsidR="00961D42" w:rsidRPr="00926DE4">
        <w:rPr>
          <w:rFonts w:ascii="Verdana" w:hAnsi="Verdana"/>
          <w:sz w:val="18"/>
          <w:szCs w:val="18"/>
        </w:rPr>
        <w:t xml:space="preserve">, </w:t>
      </w:r>
      <w:r w:rsidR="00EC7CB1" w:rsidRPr="00926DE4">
        <w:rPr>
          <w:rFonts w:ascii="Verdana" w:hAnsi="Verdana"/>
          <w:sz w:val="18"/>
          <w:szCs w:val="18"/>
        </w:rPr>
        <w:t xml:space="preserve">Актуальная дата </w:t>
      </w:r>
      <w:r w:rsidR="00110FA2" w:rsidRPr="00926DE4">
        <w:rPr>
          <w:rFonts w:ascii="Verdana" w:hAnsi="Verdana"/>
          <w:sz w:val="18"/>
          <w:szCs w:val="18"/>
        </w:rPr>
        <w:t xml:space="preserve">- </w:t>
      </w:r>
      <w:r w:rsidR="00961D42" w:rsidRPr="00926DE4">
        <w:rPr>
          <w:rFonts w:ascii="Verdana" w:hAnsi="Verdana"/>
          <w:sz w:val="18"/>
          <w:szCs w:val="18"/>
        </w:rPr>
        <w:t xml:space="preserve">31.03; </w:t>
      </w:r>
      <w:r w:rsidR="00110FA2" w:rsidRPr="00926DE4">
        <w:rPr>
          <w:rFonts w:ascii="Verdana" w:hAnsi="Verdana"/>
          <w:sz w:val="18"/>
          <w:szCs w:val="18"/>
        </w:rPr>
        <w:t>не позднее 15.11</w:t>
      </w:r>
      <w:r w:rsidR="00961D42" w:rsidRPr="00926DE4">
        <w:rPr>
          <w:rFonts w:ascii="Verdana" w:hAnsi="Verdana"/>
          <w:sz w:val="18"/>
          <w:szCs w:val="18"/>
        </w:rPr>
        <w:t xml:space="preserve">, </w:t>
      </w:r>
      <w:r w:rsidR="00EC7CB1" w:rsidRPr="00926DE4">
        <w:rPr>
          <w:rFonts w:ascii="Verdana" w:hAnsi="Verdana"/>
          <w:sz w:val="18"/>
          <w:szCs w:val="18"/>
        </w:rPr>
        <w:t>Актуальная дата</w:t>
      </w:r>
      <w:r w:rsidR="00110FA2" w:rsidRPr="00926DE4">
        <w:rPr>
          <w:rFonts w:ascii="Verdana" w:hAnsi="Verdana"/>
          <w:sz w:val="18"/>
          <w:szCs w:val="18"/>
        </w:rPr>
        <w:t xml:space="preserve"> - </w:t>
      </w:r>
      <w:r w:rsidR="00961D42" w:rsidRPr="00926DE4">
        <w:rPr>
          <w:rFonts w:ascii="Verdana" w:hAnsi="Verdana"/>
          <w:sz w:val="18"/>
          <w:szCs w:val="18"/>
        </w:rPr>
        <w:t xml:space="preserve">30.06; </w:t>
      </w:r>
      <w:r w:rsidR="009555C4" w:rsidRPr="00926DE4">
        <w:rPr>
          <w:rFonts w:ascii="Verdana" w:hAnsi="Verdana"/>
          <w:sz w:val="18"/>
          <w:szCs w:val="18"/>
        </w:rPr>
        <w:t xml:space="preserve">не позднее </w:t>
      </w:r>
      <w:r w:rsidR="00110FA2" w:rsidRPr="00926DE4">
        <w:rPr>
          <w:rFonts w:ascii="Verdana" w:hAnsi="Verdana"/>
          <w:sz w:val="18"/>
          <w:szCs w:val="18"/>
        </w:rPr>
        <w:t>15</w:t>
      </w:r>
      <w:r w:rsidR="00856131" w:rsidRPr="00926DE4">
        <w:rPr>
          <w:rFonts w:ascii="Verdana" w:hAnsi="Verdana"/>
          <w:sz w:val="18"/>
          <w:szCs w:val="18"/>
        </w:rPr>
        <w:t>.04</w:t>
      </w:r>
      <w:r w:rsidR="00961D42" w:rsidRPr="00926DE4">
        <w:rPr>
          <w:rFonts w:ascii="Verdana" w:hAnsi="Verdana"/>
          <w:sz w:val="18"/>
          <w:szCs w:val="18"/>
        </w:rPr>
        <w:t xml:space="preserve">, </w:t>
      </w:r>
      <w:r w:rsidR="00EC7CB1" w:rsidRPr="00926DE4">
        <w:rPr>
          <w:rFonts w:ascii="Verdana" w:hAnsi="Verdana"/>
          <w:sz w:val="18"/>
          <w:szCs w:val="18"/>
        </w:rPr>
        <w:t xml:space="preserve">Актуальная дата -  </w:t>
      </w:r>
      <w:r w:rsidR="00961D42" w:rsidRPr="00926DE4">
        <w:rPr>
          <w:rFonts w:ascii="Verdana" w:hAnsi="Verdana"/>
          <w:sz w:val="18"/>
          <w:szCs w:val="18"/>
        </w:rPr>
        <w:t xml:space="preserve">30.09. </w:t>
      </w:r>
      <w:r w:rsidR="005F41EB" w:rsidRPr="00926DE4">
        <w:rPr>
          <w:rFonts w:ascii="Verdana" w:hAnsi="Verdana"/>
          <w:sz w:val="18"/>
          <w:szCs w:val="18"/>
        </w:rPr>
        <w:t>Корпорация, руководствуясь внутренней нормативной документацией, вправе пересмотреть определенный Финансовой организацией-партнером состав участников Группы, а также компоненты Показателя.</w:t>
      </w:r>
    </w:p>
  </w:footnote>
  <w:footnote w:id="2">
    <w:p w:rsidR="00214205" w:rsidRDefault="00214205" w:rsidP="00572FF9">
      <w:pPr>
        <w:pStyle w:val="a6"/>
        <w:jc w:val="both"/>
      </w:pPr>
      <w:r w:rsidRPr="002108E4">
        <w:rPr>
          <w:rStyle w:val="a8"/>
          <w:rFonts w:ascii="Verdana" w:hAnsi="Verdana"/>
          <w:sz w:val="18"/>
          <w:szCs w:val="18"/>
        </w:rPr>
        <w:footnoteRef/>
      </w:r>
      <w:r w:rsidRPr="002108E4">
        <w:rPr>
          <w:rFonts w:ascii="Verdana" w:hAnsi="Verdana"/>
          <w:sz w:val="18"/>
          <w:szCs w:val="18"/>
        </w:rPr>
        <w:t xml:space="preserve"> </w:t>
      </w:r>
      <w:r w:rsidR="000035D0" w:rsidRPr="00AB25C2">
        <w:rPr>
          <w:rFonts w:ascii="Verdana" w:hAnsi="Verdana"/>
          <w:iCs/>
          <w:sz w:val="18"/>
          <w:szCs w:val="18"/>
        </w:rPr>
        <w:t>Расчет показателя осуществляется</w:t>
      </w:r>
      <w:r w:rsidRPr="00AB25C2">
        <w:rPr>
          <w:rFonts w:ascii="Verdana" w:hAnsi="Verdana"/>
          <w:iCs/>
          <w:sz w:val="18"/>
          <w:szCs w:val="18"/>
        </w:rPr>
        <w:t xml:space="preserve"> за период, равный 12 месяцам, предшествующим </w:t>
      </w:r>
      <w:r w:rsidR="000035D0" w:rsidRPr="00AB25C2">
        <w:rPr>
          <w:rFonts w:ascii="Verdana" w:hAnsi="Verdana"/>
          <w:iCs/>
          <w:sz w:val="18"/>
          <w:szCs w:val="18"/>
        </w:rPr>
        <w:t>Актуальной дате</w:t>
      </w:r>
      <w:r w:rsidRPr="00AB25C2">
        <w:rPr>
          <w:rFonts w:ascii="Verdana" w:hAnsi="Verdana"/>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6D5"/>
    <w:multiLevelType w:val="multilevel"/>
    <w:tmpl w:val="006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26BD1"/>
    <w:multiLevelType w:val="hybridMultilevel"/>
    <w:tmpl w:val="11B47E08"/>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932B6"/>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E67283"/>
    <w:multiLevelType w:val="multilevel"/>
    <w:tmpl w:val="A97C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54F38"/>
    <w:multiLevelType w:val="hybridMultilevel"/>
    <w:tmpl w:val="429CB976"/>
    <w:lvl w:ilvl="0" w:tplc="DD6E80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D626BA3"/>
    <w:multiLevelType w:val="hybridMultilevel"/>
    <w:tmpl w:val="26ACE1A0"/>
    <w:lvl w:ilvl="0" w:tplc="091A6F8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AA11D9"/>
    <w:multiLevelType w:val="multilevel"/>
    <w:tmpl w:val="B53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D7E83"/>
    <w:multiLevelType w:val="hybridMultilevel"/>
    <w:tmpl w:val="62E41FB8"/>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7C4577"/>
    <w:multiLevelType w:val="hybridMultilevel"/>
    <w:tmpl w:val="30A0B6C4"/>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511E3D"/>
    <w:multiLevelType w:val="hybridMultilevel"/>
    <w:tmpl w:val="6E3C53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6D3670B"/>
    <w:multiLevelType w:val="hybridMultilevel"/>
    <w:tmpl w:val="B22E4560"/>
    <w:lvl w:ilvl="0" w:tplc="DD6E805A">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1" w15:restartNumberingAfterBreak="0">
    <w:nsid w:val="678F258C"/>
    <w:multiLevelType w:val="multilevel"/>
    <w:tmpl w:val="589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41830"/>
    <w:multiLevelType w:val="hybridMultilevel"/>
    <w:tmpl w:val="4D38DC86"/>
    <w:lvl w:ilvl="0" w:tplc="DD6E80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BD27FFE"/>
    <w:multiLevelType w:val="hybridMultilevel"/>
    <w:tmpl w:val="5010C7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5"/>
  </w:num>
  <w:num w:numId="6">
    <w:abstractNumId w:val="13"/>
  </w:num>
  <w:num w:numId="7">
    <w:abstractNumId w:val="10"/>
  </w:num>
  <w:num w:numId="8">
    <w:abstractNumId w:val="2"/>
  </w:num>
  <w:num w:numId="9">
    <w:abstractNumId w:val="6"/>
  </w:num>
  <w:num w:numId="10">
    <w:abstractNumId w:val="7"/>
  </w:num>
  <w:num w:numId="11">
    <w:abstractNumId w:val="9"/>
  </w:num>
  <w:num w:numId="12">
    <w:abstractNumId w:val="12"/>
  </w:num>
  <w:num w:numId="13">
    <w:abstractNumId w:val="8"/>
  </w:num>
  <w:num w:numId="14">
    <w:abstractNumId w:val="1"/>
  </w:num>
  <w:num w:numId="15">
    <w:abstractNumId w:val="1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11"/>
    <w:rsid w:val="000000A7"/>
    <w:rsid w:val="000035D0"/>
    <w:rsid w:val="00011007"/>
    <w:rsid w:val="00021B75"/>
    <w:rsid w:val="00023984"/>
    <w:rsid w:val="0003295A"/>
    <w:rsid w:val="00033E4B"/>
    <w:rsid w:val="0005047D"/>
    <w:rsid w:val="00061C56"/>
    <w:rsid w:val="000664A4"/>
    <w:rsid w:val="0007569E"/>
    <w:rsid w:val="00094618"/>
    <w:rsid w:val="00096553"/>
    <w:rsid w:val="000D5C6B"/>
    <w:rsid w:val="000F1BDF"/>
    <w:rsid w:val="000F35D4"/>
    <w:rsid w:val="0010559E"/>
    <w:rsid w:val="00110FA2"/>
    <w:rsid w:val="00116B33"/>
    <w:rsid w:val="00141476"/>
    <w:rsid w:val="0015299B"/>
    <w:rsid w:val="001608F4"/>
    <w:rsid w:val="00160D35"/>
    <w:rsid w:val="00176DE2"/>
    <w:rsid w:val="001940B5"/>
    <w:rsid w:val="001B7660"/>
    <w:rsid w:val="001C7F7A"/>
    <w:rsid w:val="001F4966"/>
    <w:rsid w:val="00204A15"/>
    <w:rsid w:val="002108E4"/>
    <w:rsid w:val="00214205"/>
    <w:rsid w:val="002214E6"/>
    <w:rsid w:val="00222647"/>
    <w:rsid w:val="00226610"/>
    <w:rsid w:val="00236A40"/>
    <w:rsid w:val="00291532"/>
    <w:rsid w:val="002F014E"/>
    <w:rsid w:val="002F2A16"/>
    <w:rsid w:val="002F6BD1"/>
    <w:rsid w:val="00302944"/>
    <w:rsid w:val="0033308E"/>
    <w:rsid w:val="003378CC"/>
    <w:rsid w:val="00351263"/>
    <w:rsid w:val="003561D9"/>
    <w:rsid w:val="003675AB"/>
    <w:rsid w:val="003A0E45"/>
    <w:rsid w:val="003A635A"/>
    <w:rsid w:val="003B6C6E"/>
    <w:rsid w:val="003C01A6"/>
    <w:rsid w:val="003C5F9A"/>
    <w:rsid w:val="003E5E65"/>
    <w:rsid w:val="003F496C"/>
    <w:rsid w:val="004278C2"/>
    <w:rsid w:val="004311A0"/>
    <w:rsid w:val="00433B0D"/>
    <w:rsid w:val="00434EFE"/>
    <w:rsid w:val="004522C8"/>
    <w:rsid w:val="00471DD2"/>
    <w:rsid w:val="00471F7F"/>
    <w:rsid w:val="0049328C"/>
    <w:rsid w:val="004A64DB"/>
    <w:rsid w:val="004D0E75"/>
    <w:rsid w:val="004D6F99"/>
    <w:rsid w:val="004D7450"/>
    <w:rsid w:val="004E4384"/>
    <w:rsid w:val="00505C6A"/>
    <w:rsid w:val="00512E30"/>
    <w:rsid w:val="005264E3"/>
    <w:rsid w:val="00526AA8"/>
    <w:rsid w:val="00532B55"/>
    <w:rsid w:val="005456E1"/>
    <w:rsid w:val="00554C26"/>
    <w:rsid w:val="00560C2D"/>
    <w:rsid w:val="00572FF9"/>
    <w:rsid w:val="00580731"/>
    <w:rsid w:val="00583C9D"/>
    <w:rsid w:val="0059694E"/>
    <w:rsid w:val="005A1B6F"/>
    <w:rsid w:val="005A552D"/>
    <w:rsid w:val="005C37D9"/>
    <w:rsid w:val="005C6B8E"/>
    <w:rsid w:val="005F41EB"/>
    <w:rsid w:val="0064245D"/>
    <w:rsid w:val="00642D1F"/>
    <w:rsid w:val="00683BBE"/>
    <w:rsid w:val="006C104D"/>
    <w:rsid w:val="006C7D4B"/>
    <w:rsid w:val="006E165D"/>
    <w:rsid w:val="006F1CB1"/>
    <w:rsid w:val="006F7A0B"/>
    <w:rsid w:val="00704558"/>
    <w:rsid w:val="00713DA9"/>
    <w:rsid w:val="00743D98"/>
    <w:rsid w:val="00752436"/>
    <w:rsid w:val="00757B61"/>
    <w:rsid w:val="007774B7"/>
    <w:rsid w:val="007827BB"/>
    <w:rsid w:val="00786615"/>
    <w:rsid w:val="007A0FA3"/>
    <w:rsid w:val="007B48AE"/>
    <w:rsid w:val="007C3B4C"/>
    <w:rsid w:val="007D5973"/>
    <w:rsid w:val="007E6FE4"/>
    <w:rsid w:val="007F2430"/>
    <w:rsid w:val="00804484"/>
    <w:rsid w:val="00804E79"/>
    <w:rsid w:val="00840C54"/>
    <w:rsid w:val="0084315B"/>
    <w:rsid w:val="0085526D"/>
    <w:rsid w:val="00856131"/>
    <w:rsid w:val="00864AD6"/>
    <w:rsid w:val="0087001E"/>
    <w:rsid w:val="00875E11"/>
    <w:rsid w:val="008766E6"/>
    <w:rsid w:val="008820D6"/>
    <w:rsid w:val="00886D36"/>
    <w:rsid w:val="00892E85"/>
    <w:rsid w:val="0089680B"/>
    <w:rsid w:val="00897A10"/>
    <w:rsid w:val="008A638C"/>
    <w:rsid w:val="008B21D2"/>
    <w:rsid w:val="008D345B"/>
    <w:rsid w:val="009053F7"/>
    <w:rsid w:val="00912F6D"/>
    <w:rsid w:val="009131B0"/>
    <w:rsid w:val="00915144"/>
    <w:rsid w:val="009213C9"/>
    <w:rsid w:val="009225EE"/>
    <w:rsid w:val="009263FC"/>
    <w:rsid w:val="00926DE4"/>
    <w:rsid w:val="00935D45"/>
    <w:rsid w:val="0093644D"/>
    <w:rsid w:val="00946220"/>
    <w:rsid w:val="00946EAE"/>
    <w:rsid w:val="009555C4"/>
    <w:rsid w:val="00961D42"/>
    <w:rsid w:val="009678CE"/>
    <w:rsid w:val="00970C2F"/>
    <w:rsid w:val="00971B87"/>
    <w:rsid w:val="0097305C"/>
    <w:rsid w:val="009760BA"/>
    <w:rsid w:val="009938A6"/>
    <w:rsid w:val="009B2DD9"/>
    <w:rsid w:val="009B3B43"/>
    <w:rsid w:val="009B7EB7"/>
    <w:rsid w:val="009C1220"/>
    <w:rsid w:val="009C3C43"/>
    <w:rsid w:val="009E3664"/>
    <w:rsid w:val="00A11BF0"/>
    <w:rsid w:val="00A31403"/>
    <w:rsid w:val="00A42B32"/>
    <w:rsid w:val="00A610A2"/>
    <w:rsid w:val="00A65FFC"/>
    <w:rsid w:val="00A74389"/>
    <w:rsid w:val="00AA64F7"/>
    <w:rsid w:val="00AB25C2"/>
    <w:rsid w:val="00AE639C"/>
    <w:rsid w:val="00AF2122"/>
    <w:rsid w:val="00AF569D"/>
    <w:rsid w:val="00B1482E"/>
    <w:rsid w:val="00B15805"/>
    <w:rsid w:val="00B20C83"/>
    <w:rsid w:val="00B26E13"/>
    <w:rsid w:val="00B6090D"/>
    <w:rsid w:val="00B7369B"/>
    <w:rsid w:val="00BC1AE1"/>
    <w:rsid w:val="00BD5101"/>
    <w:rsid w:val="00BE5061"/>
    <w:rsid w:val="00C04D1E"/>
    <w:rsid w:val="00C371EB"/>
    <w:rsid w:val="00C40571"/>
    <w:rsid w:val="00C4068B"/>
    <w:rsid w:val="00C42DEE"/>
    <w:rsid w:val="00C50789"/>
    <w:rsid w:val="00C514DF"/>
    <w:rsid w:val="00C522D0"/>
    <w:rsid w:val="00C56A8E"/>
    <w:rsid w:val="00C57451"/>
    <w:rsid w:val="00C70D4B"/>
    <w:rsid w:val="00C93941"/>
    <w:rsid w:val="00CD01C1"/>
    <w:rsid w:val="00CD22C3"/>
    <w:rsid w:val="00CD272D"/>
    <w:rsid w:val="00CE64AF"/>
    <w:rsid w:val="00CE7899"/>
    <w:rsid w:val="00CF099C"/>
    <w:rsid w:val="00D03332"/>
    <w:rsid w:val="00D30A69"/>
    <w:rsid w:val="00D32952"/>
    <w:rsid w:val="00D42EF8"/>
    <w:rsid w:val="00D47337"/>
    <w:rsid w:val="00D74FE7"/>
    <w:rsid w:val="00D7798A"/>
    <w:rsid w:val="00D8327D"/>
    <w:rsid w:val="00D97BD3"/>
    <w:rsid w:val="00DA5146"/>
    <w:rsid w:val="00DA5D7C"/>
    <w:rsid w:val="00DA5EBF"/>
    <w:rsid w:val="00DD458D"/>
    <w:rsid w:val="00DE1A3C"/>
    <w:rsid w:val="00DE20D7"/>
    <w:rsid w:val="00DF628B"/>
    <w:rsid w:val="00DF6B52"/>
    <w:rsid w:val="00E00461"/>
    <w:rsid w:val="00E05EC0"/>
    <w:rsid w:val="00E253E4"/>
    <w:rsid w:val="00E31CE7"/>
    <w:rsid w:val="00E37387"/>
    <w:rsid w:val="00E43512"/>
    <w:rsid w:val="00E44B85"/>
    <w:rsid w:val="00E45278"/>
    <w:rsid w:val="00E7170B"/>
    <w:rsid w:val="00E7635D"/>
    <w:rsid w:val="00E847BF"/>
    <w:rsid w:val="00EA26C4"/>
    <w:rsid w:val="00EA375F"/>
    <w:rsid w:val="00EC15CD"/>
    <w:rsid w:val="00EC169E"/>
    <w:rsid w:val="00EC7CB1"/>
    <w:rsid w:val="00ED4501"/>
    <w:rsid w:val="00EF41D4"/>
    <w:rsid w:val="00F00D49"/>
    <w:rsid w:val="00F075EE"/>
    <w:rsid w:val="00F113CF"/>
    <w:rsid w:val="00F24F7C"/>
    <w:rsid w:val="00F670AB"/>
    <w:rsid w:val="00F727C9"/>
    <w:rsid w:val="00F76577"/>
    <w:rsid w:val="00FA298E"/>
    <w:rsid w:val="00FA2C2D"/>
    <w:rsid w:val="00FA7B25"/>
    <w:rsid w:val="00FC1A39"/>
    <w:rsid w:val="00FD40F2"/>
    <w:rsid w:val="00FF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3281-1369-4865-93F5-6A78934A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F4"/>
    <w:pPr>
      <w:suppressAutoHyphens/>
      <w:spacing w:after="200" w:line="276" w:lineRule="auto"/>
    </w:pPr>
    <w:rPr>
      <w:rFonts w:ascii="Calibri" w:eastAsia="Calibri" w:hAnsi="Calibri" w:cs="Times New Roman"/>
      <w:lang w:eastAsia="zh-CN"/>
    </w:rPr>
  </w:style>
  <w:style w:type="paragraph" w:styleId="1">
    <w:name w:val="heading 1"/>
    <w:basedOn w:val="a"/>
    <w:link w:val="10"/>
    <w:uiPriority w:val="9"/>
    <w:qFormat/>
    <w:rsid w:val="00DF628B"/>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L,Абзац маркированнный,Содержание. 2 уровень,Абзац списка для документа,Список с узором,1,Нумерованый список,List Paragraph1,Маркер,Bullet Number,Bullet List,FooterText,numbered,lp1,f_Абзац 1,ПАРАГРАФ,Цветной список - Акцент 11,мой"/>
    <w:basedOn w:val="a"/>
    <w:link w:val="a4"/>
    <w:uiPriority w:val="34"/>
    <w:qFormat/>
    <w:rsid w:val="009B7EB7"/>
    <w:pPr>
      <w:widowControl w:val="0"/>
      <w:suppressAutoHyphens w:val="0"/>
      <w:autoSpaceDE w:val="0"/>
      <w:autoSpaceDN w:val="0"/>
      <w:spacing w:after="0" w:line="240" w:lineRule="auto"/>
      <w:ind w:left="981" w:right="178" w:firstLine="708"/>
      <w:jc w:val="both"/>
    </w:pPr>
    <w:rPr>
      <w:rFonts w:ascii="Times New Roman" w:eastAsia="Times New Roman" w:hAnsi="Times New Roman"/>
      <w:lang w:eastAsia="en-US"/>
    </w:rPr>
  </w:style>
  <w:style w:type="table" w:styleId="a5">
    <w:name w:val="Table Grid"/>
    <w:basedOn w:val="a1"/>
    <w:uiPriority w:val="39"/>
    <w:rsid w:val="009B7E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UL Знак,Абзац маркированнный Знак,Содержание. 2 уровень Знак,Абзац списка для документа Знак,Список с узором Знак,1 Знак,Нумерованый список Знак,List Paragraph1 Знак,Маркер Знак,Bullet Number Знак,Bullet List Знак,FooterText Знак"/>
    <w:link w:val="a3"/>
    <w:uiPriority w:val="34"/>
    <w:locked/>
    <w:rsid w:val="009B7EB7"/>
    <w:rPr>
      <w:rFonts w:ascii="Times New Roman" w:eastAsia="Times New Roman" w:hAnsi="Times New Roman" w:cs="Times New Roman"/>
    </w:rPr>
  </w:style>
  <w:style w:type="paragraph" w:styleId="a6">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7"/>
    <w:uiPriority w:val="99"/>
    <w:unhideWhenUsed/>
    <w:qFormat/>
    <w:rsid w:val="009B7EB7"/>
    <w:pPr>
      <w:widowControl w:val="0"/>
      <w:suppressAutoHyphens w:val="0"/>
      <w:autoSpaceDE w:val="0"/>
      <w:autoSpaceDN w:val="0"/>
      <w:spacing w:after="0" w:line="240" w:lineRule="auto"/>
    </w:pPr>
    <w:rPr>
      <w:rFonts w:ascii="Times New Roman" w:eastAsia="Times New Roman" w:hAnsi="Times New Roman"/>
      <w:sz w:val="20"/>
      <w:szCs w:val="20"/>
      <w:lang w:eastAsia="en-US"/>
    </w:rPr>
  </w:style>
  <w:style w:type="character" w:customStyle="1" w:styleId="a7">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6"/>
    <w:uiPriority w:val="99"/>
    <w:rsid w:val="009B7EB7"/>
    <w:rPr>
      <w:rFonts w:ascii="Times New Roman" w:eastAsia="Times New Roman" w:hAnsi="Times New Roman" w:cs="Times New Roman"/>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basedOn w:val="a0"/>
    <w:link w:val="11"/>
    <w:uiPriority w:val="99"/>
    <w:unhideWhenUsed/>
    <w:qFormat/>
    <w:rsid w:val="009B7EB7"/>
    <w:rPr>
      <w:vertAlign w:val="superscript"/>
    </w:rPr>
  </w:style>
  <w:style w:type="paragraph" w:customStyle="1" w:styleId="11">
    <w:name w:val="Знак сноски1"/>
    <w:link w:val="a8"/>
    <w:uiPriority w:val="99"/>
    <w:qFormat/>
    <w:rsid w:val="0097305C"/>
    <w:pPr>
      <w:spacing w:after="0" w:line="240" w:lineRule="auto"/>
    </w:pPr>
    <w:rPr>
      <w:vertAlign w:val="superscript"/>
    </w:rPr>
  </w:style>
  <w:style w:type="paragraph" w:styleId="a9">
    <w:name w:val="Normal (Web)"/>
    <w:basedOn w:val="a"/>
    <w:uiPriority w:val="99"/>
    <w:unhideWhenUsed/>
    <w:rsid w:val="0097305C"/>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A42B3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42B32"/>
    <w:rPr>
      <w:rFonts w:ascii="Segoe UI" w:eastAsia="Calibri" w:hAnsi="Segoe UI" w:cs="Segoe UI"/>
      <w:sz w:val="18"/>
      <w:szCs w:val="18"/>
      <w:lang w:eastAsia="zh-CN"/>
    </w:rPr>
  </w:style>
  <w:style w:type="character" w:styleId="ac">
    <w:name w:val="annotation reference"/>
    <w:basedOn w:val="a0"/>
    <w:uiPriority w:val="99"/>
    <w:semiHidden/>
    <w:unhideWhenUsed/>
    <w:rsid w:val="00A65FFC"/>
    <w:rPr>
      <w:sz w:val="16"/>
      <w:szCs w:val="16"/>
    </w:rPr>
  </w:style>
  <w:style w:type="paragraph" w:styleId="ad">
    <w:name w:val="annotation text"/>
    <w:basedOn w:val="a"/>
    <w:link w:val="ae"/>
    <w:uiPriority w:val="99"/>
    <w:semiHidden/>
    <w:unhideWhenUsed/>
    <w:rsid w:val="00A65FFC"/>
    <w:pPr>
      <w:spacing w:line="240" w:lineRule="auto"/>
    </w:pPr>
    <w:rPr>
      <w:sz w:val="20"/>
      <w:szCs w:val="20"/>
    </w:rPr>
  </w:style>
  <w:style w:type="character" w:customStyle="1" w:styleId="ae">
    <w:name w:val="Текст примечания Знак"/>
    <w:basedOn w:val="a0"/>
    <w:link w:val="ad"/>
    <w:uiPriority w:val="99"/>
    <w:semiHidden/>
    <w:rsid w:val="00A65FFC"/>
    <w:rPr>
      <w:rFonts w:ascii="Calibri" w:eastAsia="Calibri" w:hAnsi="Calibri" w:cs="Times New Roman"/>
      <w:sz w:val="20"/>
      <w:szCs w:val="20"/>
      <w:lang w:eastAsia="zh-CN"/>
    </w:rPr>
  </w:style>
  <w:style w:type="paragraph" w:styleId="af">
    <w:name w:val="annotation subject"/>
    <w:basedOn w:val="ad"/>
    <w:next w:val="ad"/>
    <w:link w:val="af0"/>
    <w:uiPriority w:val="99"/>
    <w:semiHidden/>
    <w:unhideWhenUsed/>
    <w:rsid w:val="00A65FFC"/>
    <w:rPr>
      <w:b/>
      <w:bCs/>
    </w:rPr>
  </w:style>
  <w:style w:type="character" w:customStyle="1" w:styleId="af0">
    <w:name w:val="Тема примечания Знак"/>
    <w:basedOn w:val="ae"/>
    <w:link w:val="af"/>
    <w:uiPriority w:val="99"/>
    <w:semiHidden/>
    <w:rsid w:val="00A65FFC"/>
    <w:rPr>
      <w:rFonts w:ascii="Calibri" w:eastAsia="Calibri" w:hAnsi="Calibri" w:cs="Times New Roman"/>
      <w:b/>
      <w:bCs/>
      <w:sz w:val="20"/>
      <w:szCs w:val="20"/>
      <w:lang w:eastAsia="zh-CN"/>
    </w:rPr>
  </w:style>
  <w:style w:type="character" w:styleId="af1">
    <w:name w:val="Strong"/>
    <w:basedOn w:val="a0"/>
    <w:uiPriority w:val="22"/>
    <w:qFormat/>
    <w:rsid w:val="00786615"/>
    <w:rPr>
      <w:b/>
      <w:bCs/>
    </w:rPr>
  </w:style>
  <w:style w:type="character" w:customStyle="1" w:styleId="10">
    <w:name w:val="Заголовок 1 Знак"/>
    <w:basedOn w:val="a0"/>
    <w:link w:val="1"/>
    <w:uiPriority w:val="9"/>
    <w:rsid w:val="00DF628B"/>
    <w:rPr>
      <w:rFonts w:ascii="Times New Roman" w:eastAsia="Times New Roman" w:hAnsi="Times New Roman" w:cs="Times New Roman"/>
      <w:b/>
      <w:bCs/>
      <w:kern w:val="36"/>
      <w:sz w:val="48"/>
      <w:szCs w:val="48"/>
      <w:lang w:eastAsia="ru-RU"/>
    </w:rPr>
  </w:style>
  <w:style w:type="character" w:styleId="af2">
    <w:name w:val="Hyperlink"/>
    <w:basedOn w:val="a0"/>
    <w:uiPriority w:val="99"/>
    <w:unhideWhenUsed/>
    <w:rsid w:val="00DF628B"/>
    <w:rPr>
      <w:color w:val="0563C1" w:themeColor="hyperlink"/>
      <w:u w:val="single"/>
    </w:rPr>
  </w:style>
  <w:style w:type="character" w:styleId="af3">
    <w:name w:val="FollowedHyperlink"/>
    <w:basedOn w:val="a0"/>
    <w:uiPriority w:val="99"/>
    <w:semiHidden/>
    <w:unhideWhenUsed/>
    <w:rsid w:val="007B48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2637">
      <w:bodyDiv w:val="1"/>
      <w:marLeft w:val="0"/>
      <w:marRight w:val="0"/>
      <w:marTop w:val="0"/>
      <w:marBottom w:val="0"/>
      <w:divBdr>
        <w:top w:val="none" w:sz="0" w:space="0" w:color="auto"/>
        <w:left w:val="none" w:sz="0" w:space="0" w:color="auto"/>
        <w:bottom w:val="none" w:sz="0" w:space="0" w:color="auto"/>
        <w:right w:val="none" w:sz="0" w:space="0" w:color="auto"/>
      </w:divBdr>
    </w:div>
    <w:div w:id="462117895">
      <w:bodyDiv w:val="1"/>
      <w:marLeft w:val="0"/>
      <w:marRight w:val="0"/>
      <w:marTop w:val="0"/>
      <w:marBottom w:val="0"/>
      <w:divBdr>
        <w:top w:val="none" w:sz="0" w:space="0" w:color="auto"/>
        <w:left w:val="none" w:sz="0" w:space="0" w:color="auto"/>
        <w:bottom w:val="none" w:sz="0" w:space="0" w:color="auto"/>
        <w:right w:val="none" w:sz="0" w:space="0" w:color="auto"/>
      </w:divBdr>
    </w:div>
    <w:div w:id="475102211">
      <w:bodyDiv w:val="1"/>
      <w:marLeft w:val="0"/>
      <w:marRight w:val="0"/>
      <w:marTop w:val="0"/>
      <w:marBottom w:val="0"/>
      <w:divBdr>
        <w:top w:val="none" w:sz="0" w:space="0" w:color="auto"/>
        <w:left w:val="none" w:sz="0" w:space="0" w:color="auto"/>
        <w:bottom w:val="none" w:sz="0" w:space="0" w:color="auto"/>
        <w:right w:val="none" w:sz="0" w:space="0" w:color="auto"/>
      </w:divBdr>
    </w:div>
    <w:div w:id="816605347">
      <w:bodyDiv w:val="1"/>
      <w:marLeft w:val="0"/>
      <w:marRight w:val="0"/>
      <w:marTop w:val="0"/>
      <w:marBottom w:val="0"/>
      <w:divBdr>
        <w:top w:val="none" w:sz="0" w:space="0" w:color="auto"/>
        <w:left w:val="none" w:sz="0" w:space="0" w:color="auto"/>
        <w:bottom w:val="none" w:sz="0" w:space="0" w:color="auto"/>
        <w:right w:val="none" w:sz="0" w:space="0" w:color="auto"/>
      </w:divBdr>
    </w:div>
    <w:div w:id="827206510">
      <w:bodyDiv w:val="1"/>
      <w:marLeft w:val="0"/>
      <w:marRight w:val="0"/>
      <w:marTop w:val="0"/>
      <w:marBottom w:val="0"/>
      <w:divBdr>
        <w:top w:val="none" w:sz="0" w:space="0" w:color="auto"/>
        <w:left w:val="none" w:sz="0" w:space="0" w:color="auto"/>
        <w:bottom w:val="none" w:sz="0" w:space="0" w:color="auto"/>
        <w:right w:val="none" w:sz="0" w:space="0" w:color="auto"/>
      </w:divBdr>
    </w:div>
    <w:div w:id="1104837372">
      <w:bodyDiv w:val="1"/>
      <w:marLeft w:val="0"/>
      <w:marRight w:val="0"/>
      <w:marTop w:val="0"/>
      <w:marBottom w:val="0"/>
      <w:divBdr>
        <w:top w:val="none" w:sz="0" w:space="0" w:color="auto"/>
        <w:left w:val="none" w:sz="0" w:space="0" w:color="auto"/>
        <w:bottom w:val="none" w:sz="0" w:space="0" w:color="auto"/>
        <w:right w:val="none" w:sz="0" w:space="0" w:color="auto"/>
      </w:divBdr>
    </w:div>
    <w:div w:id="1112018875">
      <w:bodyDiv w:val="1"/>
      <w:marLeft w:val="0"/>
      <w:marRight w:val="0"/>
      <w:marTop w:val="0"/>
      <w:marBottom w:val="0"/>
      <w:divBdr>
        <w:top w:val="none" w:sz="0" w:space="0" w:color="auto"/>
        <w:left w:val="none" w:sz="0" w:space="0" w:color="auto"/>
        <w:bottom w:val="none" w:sz="0" w:space="0" w:color="auto"/>
        <w:right w:val="none" w:sz="0" w:space="0" w:color="auto"/>
      </w:divBdr>
    </w:div>
    <w:div w:id="1150636740">
      <w:bodyDiv w:val="1"/>
      <w:marLeft w:val="0"/>
      <w:marRight w:val="0"/>
      <w:marTop w:val="0"/>
      <w:marBottom w:val="0"/>
      <w:divBdr>
        <w:top w:val="none" w:sz="0" w:space="0" w:color="auto"/>
        <w:left w:val="none" w:sz="0" w:space="0" w:color="auto"/>
        <w:bottom w:val="none" w:sz="0" w:space="0" w:color="auto"/>
        <w:right w:val="none" w:sz="0" w:space="0" w:color="auto"/>
      </w:divBdr>
    </w:div>
    <w:div w:id="1742023915">
      <w:bodyDiv w:val="1"/>
      <w:marLeft w:val="0"/>
      <w:marRight w:val="0"/>
      <w:marTop w:val="0"/>
      <w:marBottom w:val="0"/>
      <w:divBdr>
        <w:top w:val="none" w:sz="0" w:space="0" w:color="auto"/>
        <w:left w:val="none" w:sz="0" w:space="0" w:color="auto"/>
        <w:bottom w:val="none" w:sz="0" w:space="0" w:color="auto"/>
        <w:right w:val="none" w:sz="0" w:space="0" w:color="auto"/>
      </w:divBdr>
    </w:div>
    <w:div w:id="1828011727">
      <w:bodyDiv w:val="1"/>
      <w:marLeft w:val="0"/>
      <w:marRight w:val="0"/>
      <w:marTop w:val="0"/>
      <w:marBottom w:val="0"/>
      <w:divBdr>
        <w:top w:val="none" w:sz="0" w:space="0" w:color="auto"/>
        <w:left w:val="none" w:sz="0" w:space="0" w:color="auto"/>
        <w:bottom w:val="none" w:sz="0" w:space="0" w:color="auto"/>
        <w:right w:val="none" w:sz="0" w:space="0" w:color="auto"/>
      </w:divBdr>
    </w:div>
    <w:div w:id="1885870423">
      <w:bodyDiv w:val="1"/>
      <w:marLeft w:val="0"/>
      <w:marRight w:val="0"/>
      <w:marTop w:val="0"/>
      <w:marBottom w:val="0"/>
      <w:divBdr>
        <w:top w:val="none" w:sz="0" w:space="0" w:color="auto"/>
        <w:left w:val="none" w:sz="0" w:space="0" w:color="auto"/>
        <w:bottom w:val="none" w:sz="0" w:space="0" w:color="auto"/>
        <w:right w:val="none" w:sz="0" w:space="0" w:color="auto"/>
      </w:divBdr>
    </w:div>
    <w:div w:id="1931692143">
      <w:bodyDiv w:val="1"/>
      <w:marLeft w:val="0"/>
      <w:marRight w:val="0"/>
      <w:marTop w:val="0"/>
      <w:marBottom w:val="0"/>
      <w:divBdr>
        <w:top w:val="none" w:sz="0" w:space="0" w:color="auto"/>
        <w:left w:val="none" w:sz="0" w:space="0" w:color="auto"/>
        <w:bottom w:val="none" w:sz="0" w:space="0" w:color="auto"/>
        <w:right w:val="none" w:sz="0" w:space="0" w:color="auto"/>
      </w:divBdr>
    </w:div>
    <w:div w:id="2053571936">
      <w:bodyDiv w:val="1"/>
      <w:marLeft w:val="0"/>
      <w:marRight w:val="0"/>
      <w:marTop w:val="0"/>
      <w:marBottom w:val="0"/>
      <w:divBdr>
        <w:top w:val="none" w:sz="0" w:space="0" w:color="auto"/>
        <w:left w:val="none" w:sz="0" w:space="0" w:color="auto"/>
        <w:bottom w:val="none" w:sz="0" w:space="0" w:color="auto"/>
        <w:right w:val="none" w:sz="0" w:space="0" w:color="auto"/>
      </w:divBdr>
    </w:div>
    <w:div w:id="2074085074">
      <w:bodyDiv w:val="1"/>
      <w:marLeft w:val="0"/>
      <w:marRight w:val="0"/>
      <w:marTop w:val="0"/>
      <w:marBottom w:val="0"/>
      <w:divBdr>
        <w:top w:val="none" w:sz="0" w:space="0" w:color="auto"/>
        <w:left w:val="none" w:sz="0" w:space="0" w:color="auto"/>
        <w:bottom w:val="none" w:sz="0" w:space="0" w:color="auto"/>
        <w:right w:val="none" w:sz="0" w:space="0" w:color="auto"/>
      </w:divBdr>
    </w:div>
    <w:div w:id="2092696874">
      <w:bodyDiv w:val="1"/>
      <w:marLeft w:val="0"/>
      <w:marRight w:val="0"/>
      <w:marTop w:val="0"/>
      <w:marBottom w:val="0"/>
      <w:divBdr>
        <w:top w:val="none" w:sz="0" w:space="0" w:color="auto"/>
        <w:left w:val="none" w:sz="0" w:space="0" w:color="auto"/>
        <w:bottom w:val="none" w:sz="0" w:space="0" w:color="auto"/>
        <w:right w:val="none" w:sz="0" w:space="0" w:color="auto"/>
      </w:divBdr>
    </w:div>
    <w:div w:id="211643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A92B-7C52-4A30-96F6-2C13EBD6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91</Words>
  <Characters>520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Радин Михаил Александрович</dc:creator>
  <cp:keywords/>
  <dc:description/>
  <cp:lastModifiedBy>Базяева Юлия Ромовна</cp:lastModifiedBy>
  <cp:revision>45</cp:revision>
  <dcterms:created xsi:type="dcterms:W3CDTF">2025-07-24T12:35:00Z</dcterms:created>
  <dcterms:modified xsi:type="dcterms:W3CDTF">2026-01-12T09:23:00Z</dcterms:modified>
</cp:coreProperties>
</file>